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6D0AB427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B6554B">
        <w:rPr>
          <w:rFonts w:ascii="Marianne" w:hAnsi="Marianne" w:cs="Arial"/>
          <w:b/>
          <w:bCs/>
          <w:caps/>
          <w:sz w:val="24"/>
          <w:szCs w:val="24"/>
        </w:rPr>
        <w:t xml:space="preserve"> L03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67DE51FD" w14:textId="4D2AD9FF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 w:rsidR="00CE039F"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7FF9FAC0" w:rsidR="00691399" w:rsidRPr="00331988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Il est fixé dans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CE039F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 le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CE039F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conjoint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CE039F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CE039F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CE039F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CE039F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55E147D3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C05DB5">
        <w:rPr>
          <w:rFonts w:ascii="Marianne" w:hAnsi="Marianne" w:cs="Arial"/>
          <w:sz w:val="20"/>
        </w:rPr>
        <w:t>au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  <w:listItem w:displayText="7 Mur mobile" w:value="7 Mur mobile"/>
            <w:listItem w:displayText="8 Revêtements sols souples" w:value="8 Revêtements sols souples"/>
            <w:listItem w:displayText="9 Revêtements sols durs - faïences" w:value="9 Revêtements sols durs - faïences"/>
            <w:listItem w:displayText="10 Peinture - nettoyage" w:value="10 Peinture - nettoyage"/>
            <w:listItem w:displayText="11 Plomberie sanitaire - chauffage - climatisation - ventilation" w:value="11 Plomberie sanitaire - chauffage - climatisation - ventilation"/>
            <w:listItem w:displayText="12 Electricité générale" w:value="12 Electricité générale"/>
            <w:listItem w:displayText="13 Mise à disposition d'un bloc sanitaire modulaire" w:value="13 Mise à disposition d'un bloc sanitaire modulaire"/>
          </w:comboBox>
        </w:sdtPr>
        <w:sdtEndPr/>
        <w:sdtContent>
          <w:r w:rsidR="005B1C16">
            <w:rPr>
              <w:rFonts w:ascii="Marianne" w:hAnsi="Marianne" w:cs="Arial"/>
              <w:sz w:val="20"/>
            </w:rPr>
            <w:t>3 Menuiseries extérieures -serrurerie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CE039F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  <w:t>à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CE039F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CE039F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691399">
        <w:rPr>
          <w:rFonts w:ascii="Marianne" w:hAnsi="Marianne" w:cs="Arial"/>
        </w:rPr>
        <w:t xml:space="preserve">à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>de la prestation ou quote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4BF56382" w14:textId="77777777" w:rsidR="00556C55" w:rsidRDefault="00556C55" w:rsidP="009041F4">
      <w:pPr>
        <w:spacing w:line="276" w:lineRule="auto"/>
        <w:rPr>
          <w:rFonts w:ascii="Marianne" w:hAnsi="Marianne" w:cs="Arial"/>
          <w:sz w:val="20"/>
        </w:rPr>
      </w:pPr>
    </w:p>
    <w:p w14:paraId="6112927C" w14:textId="4C253F2C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signer, en leur nom et pour leur compte, les modifications ultérieures du marché public;</w:t>
      </w:r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ont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donnent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  <w:t xml:space="preserve">donnent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donnent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Adresse mail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Szymczak,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76BDA4A4" w14:textId="77777777" w:rsidR="00556C55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B493747" w14:textId="77777777" w:rsidR="00556C55" w:rsidRPr="002011AA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2B8BBAD6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556C55">
        <w:rPr>
          <w:rFonts w:ascii="Marianne" w:hAnsi="Marianne" w:cs="Arial"/>
          <w:b/>
          <w:bCs/>
          <w:sz w:val="20"/>
        </w:rPr>
        <w:t xml:space="preserve"> de Réseau Canopé</w:t>
      </w:r>
      <w:r>
        <w:rPr>
          <w:rFonts w:ascii="Marianne" w:hAnsi="Marianne" w:cs="Arial"/>
          <w:b/>
          <w:bCs/>
          <w:sz w:val="20"/>
        </w:rPr>
        <w:t>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1D15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6C55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1C16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D00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554A"/>
    <w:rsid w:val="00A57B9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54B"/>
    <w:rsid w:val="00B65946"/>
    <w:rsid w:val="00B65E1D"/>
    <w:rsid w:val="00B66428"/>
    <w:rsid w:val="00B66AD9"/>
    <w:rsid w:val="00B67967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039F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ba8ea352-da58-48e4-ac02-2b110b1a3fed" ContentTypeId="0x0101" PreviousValue="false"/>
</file>

<file path=customXml/itemProps1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4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1</TotalTime>
  <Pages>6</Pages>
  <Words>1095</Words>
  <Characters>6038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7119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4</cp:revision>
  <cp:lastPrinted>2015-03-02T12:44:00Z</cp:lastPrinted>
  <dcterms:created xsi:type="dcterms:W3CDTF">2025-10-06T13:05:00Z</dcterms:created>
  <dcterms:modified xsi:type="dcterms:W3CDTF">2025-10-07T09:48:00Z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